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9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8"/>
          <w:szCs w:val="28"/>
        </w:rP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00"/>
          <w:szCs w:val="100"/>
        </w:rPr>
        <w:t xml:space="preserve">iFOOD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C97A14"/>
          <w:sz w:val="42"/>
          <w:szCs w:val="42"/>
        </w:rPr>
        <w:t xml:space="preserve">Brazil's Food Delivery Superplatform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6"/>
          <w:szCs w:val="26"/>
        </w:rPr>
        <w:t xml:space="preserve">Value Chain  ·  Financial Analysis  ·  Strategy  ·  Investment Memo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80"/>
              <w:left w:type="dxa" w:w="140"/>
              <w:bottom w:type="dxa" w:w="1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Market Share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7"/>
                <w:szCs w:val="27"/>
              </w:rPr>
              <w:t xml:space="preserve">&gt;80%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6FAC" w:val="clear"/>
            <w:tcMar>
              <w:top w:type="dxa" w:w="180"/>
              <w:left w:type="dxa" w:w="140"/>
              <w:bottom w:type="dxa" w:w="1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Monthly Orders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7"/>
                <w:szCs w:val="27"/>
              </w:rPr>
              <w:t xml:space="preserve">120M+ (2025)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80"/>
              <w:left w:type="dxa" w:w="140"/>
              <w:bottom w:type="dxa" w:w="1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FY2025 aEBIT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7"/>
                <w:szCs w:val="27"/>
              </w:rPr>
              <w:t xml:space="preserve">US$226M (+178%)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6FAC" w:val="clear"/>
            <w:tcMar>
              <w:top w:type="dxa" w:w="180"/>
              <w:left w:type="dxa" w:w="140"/>
              <w:bottom w:type="dxa" w:w="1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GMV (GTV)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7"/>
                <w:szCs w:val="27"/>
              </w:rPr>
              <w:t xml:space="preserve">~R$140B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17"/>
          <w:szCs w:val="17"/>
        </w:rPr>
        <w:t xml:space="preserve">Report Date: March 2026  |  Fiscal Year End: March  |  Currency: BRL / USD</w:t>
      </w:r>
    </w:p>
    <w:p>
      <w:pPr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15"/>
          <w:szCs w:val="15"/>
        </w:rPr>
        <w:t xml:space="preserve">Sources: Prosus Annual Reports (FY2023–FY2025), Prosus Investor Presentations, CADE Filings, Statista, Rwazi Survey 2025, Rest of World, FIPE Study</w:t>
      </w:r>
    </w:p>
    <w:p>
      <w:r>
        <w:br w:type="page"/>
      </w:r>
    </w:p>
    <w:p>
      <w:pPr>
        <w:shd w:fill="C97A14" w:val="clear"/>
        <w:spacing w:before="100"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32"/>
          <w:szCs w:val="32"/>
        </w:rPr>
        <w:t xml:space="preserve">PART I — VALUE CHAIN ANALYSIS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1. Who Pays Whom: Money Flow Architecture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operates a four-sided marketplace where money flows through distinct hierarchical pathways. The platform sits at the centre of every transaction, extracting value from both sides while controlling the payment infrastructure.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1.1 Consumer → Platform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Consumers pay iFood directly at checkout for order value plus delivery fee (typically R$5–R$12 in dense urban zones; R$12–R$25 in lower-density markets).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Club (monthly subscription ~R$20–R$28/month) grants free delivery and discounts — converting one-time buyers into habitual users and smoothing revenue.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During hyper-growth phases (2018–2022), iFood subsidised significant delivery fees from promotional budgets; fee normalisation has been ongoing since 2022 as iFood moved toward profitability.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1.2 Platform → Restaurant (Commission Flow)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Restaurants pay iFood a commission on gross order value. Rates average 25–27% (per Rwazi 2025 survey and market reports) — among the highest globally for food delivery platforms.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Premium placement, sponsored listings, and performance advertising represent a secondary high-margin revenue stream (estimated 15–20% of total platform revenue at maturity).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extends working capital loans and digital accounts to restaurant partners — creating a financial services revenue layer on top of commissions.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Historically, iFood enforced exclusivity on major restaurant chains (2018–2023). CADE's February 2023 agreement prohibited exclusive contracts with large chains, partially dismantling this lock-in.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1.3 Platform → Courier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Couriers are paid per delivery by iFood, with algorithmically set rates varying by distance, time, weight, and demand-supply balance.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forecast courier income at R$5.2 billion by end-2025, a 27% YoY increase — reflecting both volume growth and wage floor normalisation following labour-rights campaigns.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Brazil's Lei dos Entregadores (Riders' Law, enacted 2024) mandates minimum per-order pay, accident insurance, and health benefits, adding structural cost floors to the courier expense line.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1.4 Platform → Prosus (Parent Capital)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is 100%-owned by Prosus (via Movile). Post-profitability (FY2024 aEBIT US$96M; FY2025 aEBIT US$226M), iFood is now a net capital generator for the Prosus group.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Prosus reports iFood on an economic-interest basis within its Food Delivery segment. iFood contributes the majority of the segment's profit.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2. Player Archetypes at Each Layer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tbl>
      <w:tblPr>
        <w:tblW w:type="dxa" w:w="7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700"/>
        <w:gridCol w:w="1700"/>
        <w:gridCol w:w="1800"/>
        <w:gridCol w:w="1060"/>
      </w:tblGrid>
      <w:tr>
        <w:trPr>
          <w:tblHeader/>
        </w:trPr>
        <w:tc>
          <w:tcPr>
            <w:tcW w:type="dxa" w:w="11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Layer</w:t>
            </w:r>
          </w:p>
        </w:tc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Player Type / Examples</w:t>
            </w:r>
          </w:p>
        </w:tc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Revenue Model</w:t>
            </w:r>
          </w:p>
        </w:tc>
        <w:tc>
          <w:tcPr>
            <w:tcW w:type="dxa" w:w="1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Moat</w:t>
            </w:r>
          </w:p>
        </w:tc>
        <w:tc>
          <w:tcPr>
            <w:tcW w:type="dxa" w:w="10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Power Trend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Parent Capital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N.V. / Naspers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Equity participation; portfolio IRR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Balance sheet depth; Tencent asset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↔ Stable; net recipient of iFood profits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Platform (iFood)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Marketplace Aggregator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(~27% of GTV) + Delivery Fees + Ads + Fintech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80%+ mkt share; data monopoly; brand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Dominant; ecosystem deepening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Financial Services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Interest income on SME loans; payment processing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Captive restaurant base; transaction data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↑↑ Fastest-growing segment (+179% revenue FY25)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Quick Commerce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Mercado / Dark Stores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+ logistics fee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First-mover density; proprietary dark store network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High-growth adjacency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Restaurant Supply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300,000+ SMEs &amp; Chains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Order revenue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Menu IP; brand; loyalty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↓ Price-takers; commission pressure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Anchor Merchants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McDonald's, Burger King, Subway, etc.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Incremental delivery revenue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Brand equity; volume leverage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Negotiating power grows with volume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Couriers (Gig)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310,000+ registered drivers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Per-order pay + iFood tips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Local geography knowledge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↓ Commoditised; regulated wage floor emerging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Tech Infrastructure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In-house + AWS/GCP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Internal cost centre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Proprietary routing; GenAI (36% CSAT improvement)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AI deepening competitive moat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Alliance (2025)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Brazil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Cross-referral / revenue share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Uber's 25M user base; driver network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Strategic hedge vs. Chinese entrants</w:t>
            </w:r>
          </w:p>
        </w:tc>
      </w:tr>
      <w:tr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Regulators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+ Labour Ministry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Compliance cost / fines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Statutory authority; Bill 4675/2025 pending</w:t>
            </w:r>
          </w:p>
        </w:tc>
        <w:tc>
          <w:tcPr>
            <w:tcW w:type="dxa" w:w="1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Increasing digital market legislation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3. Where Margins Concentrate and Why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thick" w:color="1B3A5C" w:sz="12"/>
              <w:left w:val="none" w:color="FFFFFF" w:sz="0"/>
              <w:bottom w:val="none" w:color="FFFFFF" w:sz="0"/>
              <w:right w:val="none" w:color="FFFFFF" w:sz="0"/>
            </w:tcBorders>
            <w:shd w:fill="EBF3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Key Finding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9"/>
                <w:szCs w:val="19"/>
              </w:rPr>
              <w:t xml:space="preserve">Margins in food delivery concentrate NOT in logistics (thin, commoditised) but in platform software, advertising, and embedded financial services. iFood's journey from loss-making to US$226M aEBIT in FY2025 is precisely this migration: from subsidising GTV to monetising the data and financial relationships built during the subsidy phase.</w:t>
            </w:r>
          </w:p>
        </w:tc>
      </w:tr>
    </w:tbl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Core restaurant commission (27% of GTV): gross margin ~40–50% after deducting rider costs and payment processing. At R$140B annual GTV, this is the dominant revenue source.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Advertising/sponsored listings: ~70–80% gross margin. Still under-monetised vs. Meituan China or DoorDash. Fastest near-term margin expansion lever.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(SME lending + digital accounts): Revenue R$658M (FY2024) → R$1B+ (FY2025E, +52%). aEBITDA breakeven achieved September 2025. ROA on SME loans can reach 18–25% in Brazil's high-rate environment.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Logistics / courier costs: The largest variable expense. Brazil's Riders' Law (2024) creates a structural cost floor; drone/robotics are a 5-year offset thesis rather than near-term relief.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Marketing spend: Normalised post-exclusivity ban (CADE 2023). iFood shifted budget from exclusivity-maintenance to brand and retention — improving marketing ROI.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4. Switching Costs &amp; Lock-In Mechanisms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Consumer Side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Club subscription: Monthly subscribers face switching friction (reset discovery, lost streak, coupon dependency). Club penetration drives 2–3x higher order frequency vs. non-subscribers.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Habit and interface familiarity: 89% MAU share (Sensor Tower, Aug 2024) reflects entrenched consumer behaviour. Brazilian consumers' restaurant discovery primarily happens inside iFood, not on Google or Instagram.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Uber alliance (2025): Cross-app integration means iFood reaches Uber's 25M Brazilian users and vice versa — creating a bidirectional lock-in ecosystem.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Restaurant Side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Revenue dependency: Restaurants generating 25–40% of sales through iFood face existential switching risk. Signing with a competitor does not replace iFood volume; it adds incremental channel complexity.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credit: Restaurants with working capital loans from iFood face contractual and financial obligation that further raises exit cost.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Data asymmetry: iFood holds granular demand data (time-of-day, dish-level sales, competitor performance) that restaurants cannot replicate independently.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CADE-moderated exclusivity: While explicit exclusivity is banned for large chains, iFood's volume dominance creates de facto single-homing among restaurants who cannot justify the operational complexity of multi-platform management.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Courier Side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Algorithmic score capital: Riders accumulate rating/reputation on iFood; switching means starting from zero on a new platform. In 2025, with 310,000+ iFood couriers, network density itself is a switching barrier.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benefits: Insurance and new welfare benefits (Riders' Law compliant) create switching friction vs. less-established entrants.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5. Control Points: Standards, Licenses, Data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Payment Rail (iFood Pago): iFood controls the end-to-end payment flow for every transaction. Restaurants are settled T+14 to T+30, creating a ~2-week working capital float that amplifies lending economics.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Algorithmic Dispatch: Proprietary routing algorithm (reinforced by GenAI) determines which courier receives which order. No external party can replicate or audit this logic — it is a private standard.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Data Ownership: Transaction-level data (consumer preferences, restaurant peak hours, dish-level demand, geographic heat maps) is iFood's exclusive property. This is the primary input for the advertising and fintech businesses.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Restaurant Identity: iFood controls the restaurant's digital storefront, menu display, pricing visibility, and promotional eligibility. Being de-listed or downgraded algorithmically is an existential business risk for SME restaurants.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Operating Licenses: Food delivery in Brazil requires municipal health permits (vigilância sanitária) for dark stores. iFood's dark kitchen network holds these permits as a barrier to dark-store replication.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CADE TCC (Feb 2023): iFood agreed to: (a) no exclusive contracts with large restaurant chains; (b) portability of restaurant data; (c) pricing transparency. This weakened some control points but iFood's scale maintains de facto data monopoly.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6. Contract Structures &amp; Incentive Misalignments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700"/>
        <w:gridCol w:w="4960"/>
      </w:tblGrid>
      <w:tr>
        <w:trPr>
          <w:tblHeader/>
        </w:trPr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Contract Pair</w:t>
            </w:r>
          </w:p>
        </w:tc>
        <w:tc>
          <w:tcPr>
            <w:tcW w:type="dxa" w:w="2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Structure</w:t>
            </w:r>
          </w:p>
        </w:tc>
        <w:tc>
          <w:tcPr>
            <w:tcW w:type="dxa" w:w="49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Misalignment / Tension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Restaurant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on GTV (~27%); no explicit exclusivity for large chains post-CADE (2023); premium placement pay-to-play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Restaurant maximises margin by multi-homing (Meituan, 99Food, Uber) — iFood's volume leverage diminishes if restaurants split orders; 42% of restaurants frustrated with fees (Rwazi 2025)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Courier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Per-order algorithmic pay; Riders' Law (2024) mandates minimums, insurance, benefits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Minimum pay floors compress contribution margin; couriers maximise income by multi-apping across platforms; algorithmic pay creates income volatility that drives gig-worker advocacy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Consumer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Free delivery (Club subscription); promotional discounts; price parity clauses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Consumer price sensitivity: 58% of São Paulo consumers want lower delivery costs (Rwazi); as subsidies normalise, churn risk to lower-fee competitors increases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iFood Pago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Restaurant uses iFood as delivery platform AND borrows from iFood Pago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Debt relationship creates asymmetric power; restaurant may be unable to exit iFood without financial consequence — creates regulatory exposure (CADE monitoring)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Uber Alliance (2025)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Cross-referral; app integration; mutual access to each other's user base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Short-term survival alliance vs. Meituan; long-term, Uber Eats competes with iFood in some geographies; alliance economics undisclosed — revenue split misalignment likely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↔ Prosus</w:t>
            </w:r>
          </w:p>
        </w:tc>
        <w:tc>
          <w:tcPr>
            <w:tcW w:type="dxa" w:w="2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100% subsidiary; consolidates in Prosus food delivery segment; margin managed for aEBIT targets</w:t>
            </w:r>
          </w:p>
        </w:tc>
        <w:tc>
          <w:tcPr>
            <w:tcW w:type="dxa" w:w="49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pressure for profitability may reduce iFood's willingness to invest aggressively against Meituan — classic parent-subsidiary short-termism tension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7. Single Points of Failure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Meituan (Keeta Brazil) Price War: The first serious competitive threat to iFood in a decade. Meituan's USD 1B 5-year commitment, combined with a proven HK/Saudi playbook (lower commissions + higher rider pay + consumer subsidies), is structurally designed to exploit iFood's three vulnerabilities: high commissions, compressed rider pay, and high consumer delivery fees. If Meituan captures 15% market share by 2026 (BTG Pactual estimate), iFood's contribution margin per order compresses materially.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Brazil Lei dos Entregadores (Riders' Law) Cost Escalation: The 2024 law creates a structural minimum-cost floor for every delivery. If minimum wages rise (Brazil's wage indexation policy) or additional benefits are mandated, rider costs increase without a corresponding revenue offset.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CADE Digital Markets Bill (No. 4,675/2025): The pending legislation, modelled on Europe's DMA, could designate iFood as a 'systemically relevant' platform — triggering mandatory interoperability, data-sharing obligations, and prohibition of self-preferencing in iFood Mercado (grocery dark stores competing with third-party grocers on iFood's own platform).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Credit Cycle Risk: R$1B+ annual SME lending in a high-interest-rate Brazilian environment (SELIC ~10–13%) with restaurateurs as borrowers. A recession or sharp currency depreciation compresses restaurant revenue while iFood's loan book faces NPL escalation.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BRL/USD FX Volatility: Prosus reports iFood in USD. A 20% BRL depreciation (common in Brazilian economic crises) mechanically reduces reported USD profitability even if local operations are stable.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Technology Disruption: Chinese entrants (Meituan, 99Food/DiDi) possess AI, drone, and super-app capabilities that exceed iFood's current technology stack. A significant tech gap could accelerate merchant/consumer switching if competitors deploy superior ordering or routing experiences.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8. Which Layer Holds Durable Power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thick" w:color="1A6B3A" w:sz="12"/>
              <w:left w:val="none" w:color="FFFFFF" w:sz="0"/>
              <w:bottom w:val="none" w:color="FFFFFF" w:sz="0"/>
              <w:right w:val="none" w:color="FFFFFF" w:sz="0"/>
            </w:tcBorders>
            <w:shd w:fill="EAF5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19"/>
                <w:szCs w:val="19"/>
              </w:rPr>
              <w:t xml:space="preserve">Structural Conclusion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9"/>
                <w:szCs w:val="19"/>
              </w:rPr>
              <w:t xml:space="preserve">iFood's durable power resides in the platform data layer and the embedded financial services layer — NOT in logistics. The commission-and-delivery model is increasingly contested (CADE, Meituan); the data monopoly and credit relationships are far harder to replicate. The 5-year strategic imperative is to deepen iFood Pago and advertising penetration before Meituan's competitive pressure normalises commission rates downward.</w:t>
            </w:r>
          </w:p>
        </w:tc>
      </w:tr>
    </w:tbl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Short-term power: Market share incumbency (&gt;80%) + consumer habit (89% MAU dominance) = pricing power on both commission and delivery fee sides.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Medium-term power: iFood Pago financial data + restaurant credit relationships = captive B2B ecosystem that transcends delivery.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Long-term power: Advertising network (restaurant + FMCG brand advertisers) + GenAI-driven personalisation = platform operating leverage. This is the DoorDash/Meituan maturity model applied to Brazil.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Most vulnerable layer: Logistics / rider coordination — commoditised, heavily regulated, and exposed to Chinese competitors' superior drone/AI capabilities.</w:t>
      </w:r>
    </w:p>
    <w:p>
      <w:r>
        <w:br w:type="page"/>
      </w:r>
    </w:p>
    <w:p>
      <w:pPr>
        <w:shd w:fill="C97A14" w:val="clear"/>
        <w:spacing w:before="100"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32"/>
          <w:szCs w:val="32"/>
        </w:rPr>
        <w:t xml:space="preserve">PART II — FINANCIAL ANALYSIS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1. Growth Decomposition: Volume × Price × Mix × New Products × Geography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Volume Driver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Orders: 65M/month (FY2023) → 80M/month (FY2024, +29% YoY per Prosus) → 100M/month (Aug 2024 milestone) → 120M/month (FY2025 run-rate).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3-year target: 200M orders/month by FY2028E — implying ~19% CAGR, achievable through new city penetration, couriers' law income increases driving worker supply, and Uber alliance cross-selling.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Only 37% of orders from top-10 cities (Shanglin data) — massive untapped volume in Brazil's tier-2/3 cities (1,500 cities active; population outside top-10 cities ~150M+).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Price / AOV Driver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Average Order Value: ~R$55–60 (FY2024 estimate based on R$140B GMV / 2.4B annual orders). Brazil's food inflation (+8–10% in 2024) is mechanically inflating AOV without volume benefit.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iFood's commission take rate: ~27% gross → ~12–15% net revenue take rate (after courier cost subsidies and promotions). Take rate improvement is a key lever as subsidies normalise.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Delivery fee normalisation: As iFood reduces promotional subsidies, consumer delivery fee contribution increases — directly improving net revenue per order.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Mix Driver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Food delivery (core): ~80% of GMV. Mature segment, volume-driven growth.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Grocery/Pharmacy (iFood Mercado + dark stores): Growing rapidly; higher AOV (R$80–120 vs. R$55–60 food). Gross margin lower (inventory risk) but frequency higher.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Beverages, FMCG, convenience: Extensions growing at &gt;100% GMV YoY (Prosus FY2025 interim data).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New Products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(fintech): R$658M revenue (FY2024) → R$1B+ (FY2025, +52%). aEBITDA positive since Sept 2025. Highest-margin growth vector within the group.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Ads: Promoted listings + FMCG brand advertising. Under-penetrated — estimated &lt;5% of total revenue vs. 15%+ at Meituan China or DoorDash.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Benefícios (B2B HR benefits platform): Launched 2023; early-stage but targets corporate clients for meal-ticket / benefits card digitalisation.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Geographic Driver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Brazil domestic: 1,500 active cities. Second-tier cities (pop. 100K–500K) offer next growth tranche with lower competitive intensity.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International: iFood exited Colombia (Nov 2022). No active international expansion plans disclosed. Brazil-first strategy confirmed for FY2026 capital allocation cycle.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2. Margin Tree: Gross → Operating → Cash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thick" w:color="1B3A5C" w:sz="12"/>
              <w:left w:val="none" w:color="FFFFFF" w:sz="0"/>
              <w:bottom w:val="none" w:color="FFFFFF" w:sz="0"/>
              <w:right w:val="none" w:color="FFFFFF" w:sz="0"/>
            </w:tcBorders>
            <w:shd w:fill="EBF3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iFood FY2025 Financials (Prosus Reporting)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9"/>
                <w:szCs w:val="19"/>
              </w:rPr>
              <w:t xml:space="preserve">Revenue (est.): ~R$7.5B+ | GMV: ~R$140B | Overall aEBIT: US$226M (+178% YoY) | Core restaurant aEBIT margin: 26% | iFood Pago: aEBITDA breakeven Sept 2025 | Group FY2025 investment: R$13.6B</w:t>
            </w:r>
          </w:p>
        </w:tc>
      </w:tr>
    </w:tbl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tbl>
      <w:tblPr>
        <w:tblW w:type="dxa" w:w="8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800"/>
        <w:gridCol w:w="1360"/>
      </w:tblGrid>
      <w:tr>
        <w:trPr>
          <w:tblHeader/>
        </w:trPr>
        <w:tc>
          <w:tcPr>
            <w:tcW w:type="dxa" w:w="1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Margin Layer</w:t>
            </w:r>
          </w:p>
        </w:tc>
        <w:tc>
          <w:tcPr>
            <w:tcW w:type="dxa" w:w="2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Key Lever</w:t>
            </w:r>
          </w:p>
        </w:tc>
        <w:tc>
          <w:tcPr>
            <w:tcW w:type="dxa" w:w="2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FY2025 Status</w:t>
            </w:r>
          </w:p>
        </w:tc>
        <w:tc>
          <w:tcPr>
            <w:tcW w:type="dxa" w:w="13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Trend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Gross Revenue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rate (~27% of GTV) + delivery fees + fintech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~R$7.5B; GMV take rate ~12–15% net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Fintech growing fastest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 Cost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Per-order rider pay (Riders' Law 2024 floor)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Largest variable cost; R$5.2B forecast courier income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↓ (cost) Wage floors rising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Marketing / Subsidies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Promotional delivery discounts; coupon spend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Optimised; Prosus cites 'optimised marketing spend' as driver of FY2024 profit jump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↓ (cost) Normalising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Gross Profit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Revenue minus rider cost, payment processing, cloud infra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Not disclosed separately; implied ~35–45% at core business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Mix shift to ads/fintech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S&amp;A / Tech R&amp;D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Platform engineering; AI (GenAI CSAT +36%); data infrastructure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~R$17B FY2026 investment plan includes tech and ops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Heavy but creating moat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Adjusted EBIT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Prosus-defined aEBIT (excludes depreciation, SBC, one-offs)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US$226M (FY2025), up 178%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↑↑ Inflection achieved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Operating Cash Flow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aEBIT + D&amp;A; working capital from iFood Pago float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group OCF improving; iFood net contributor since FY2024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Net cash generator</w:t>
            </w:r>
          </w:p>
        </w:tc>
      </w:tr>
      <w:tr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FX Impact</w:t>
            </w:r>
          </w:p>
        </w:tc>
        <w:tc>
          <w:tcPr>
            <w:tcW w:type="dxa" w:w="2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BRL/USD translation (Prosus reports in USD)</w:t>
            </w:r>
          </w:p>
        </w:tc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 weakness mechanically reduces USD aEBIT</w:t>
            </w:r>
          </w:p>
        </w:tc>
        <w:tc>
          <w:tcPr>
            <w:tcW w:type="dxa" w:w="1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↔ Structural risk; macro-dependent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3. Unit Economics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Per-Order Economics (Food Delivery, FY2025 Estimate)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3760"/>
      </w:tblGrid>
      <w:tr>
        <w:trPr>
          <w:tblHeader/>
        </w:trPr>
        <w:tc>
          <w:tcPr>
            <w:tcW w:type="dxa" w:w="3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Estimate (BRL)</w:t>
            </w:r>
          </w:p>
        </w:tc>
        <w:tc>
          <w:tcPr>
            <w:tcW w:type="dxa" w:w="37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Gross Order Value (AOV)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R$57–62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Based on R$140B GMV / ~2.4B annual orders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Platform Commission (~27%)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R$15.4–16.7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Gross commission before cost allocation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Consumer Delivery Fee (net of promo)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R$4–7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Post-normalisation; down from 80%+ subsidised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Gross Revenue / Order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R$19–24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+ delivery fee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 Cost / Order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R$9–13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Per Riders' Law floor + algorithm base rate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Payment Processing (~1.5% of GMV)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R$0.85–0.93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PIX/card processing; partially offset by iFood Pago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Contribution Margin / Order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R$6–11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Wide range; density-dependent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CAC (per new consumer)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R$18–35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Blended; declining as organic share grows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Payback Period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~3–5 months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Based on ~12x annual order frequency for retained users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Monthly Retention (Club users)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~72–78%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Club subscribers; non-Club ~45–55%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Monthly Retention (non-Club)</w:t>
            </w:r>
          </w:p>
        </w:tc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~45–55%</w:t>
            </w:r>
          </w:p>
        </w:tc>
        <w:tc>
          <w:tcPr>
            <w:tcW w:type="dxa" w:w="37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Target: convert to Club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4. Cyclicality: Demand Driver Analysis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Macroeconomic sensitivity: Food delivery is moderately counter-cyclical — during economic contractions, consumers substitute restaurant dining-out for delivery. However, extreme downturns suppress discretionary spending on delivery itself. Brazil's 2024 GDP growth ~3.2% is supportive.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Wage/inflation indexation: Brazil's annual minimum wage adjustment (currently linked to GDP growth + INPC inflation) directly raises courier costs each January — creating predictable annual cost escalation.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Rainfall / weather: Heavy rain events (São Paulo rainy season Oct–Mar) drive +20–30% order spikes. Algorithmic surge pricing partially offsets elevated courier costs during rain events.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Seasonal peaks: Carnival (reduced delivery; social outdoor events), June Festa Junina (modest uplift), Christmas/year-end (highest AOV seasonal peak as restaurants offer premium menus).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SELIC rate cycle: Brazil's high interest rates (SELIC ~10–13%) are iFood Pago's friend (higher lending margins) but the consumer's enemy (less discretionary income for delivery). Net effect depends on rate trajectory.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Competitive intensity: Meituan's entry (2025–2026) and 99Food relaunch are the largest single cyclical swing variable — a price war could force iFood to reinstate subsidies, compressing FY2026–2027 margins.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5. Sensitivity 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700"/>
        <w:gridCol w:w="2600"/>
        <w:gridCol w:w="3060"/>
      </w:tblGrid>
      <w:tr>
        <w:trPr>
          <w:tblHeader/>
        </w:trPr>
        <w:tc>
          <w:tcPr>
            <w:tcW w:type="dxa" w:w="2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Variable</w:t>
            </w:r>
          </w:p>
        </w:tc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Base Case</w:t>
            </w:r>
          </w:p>
        </w:tc>
        <w:tc>
          <w:tcPr>
            <w:tcW w:type="dxa" w:w="2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Scenario (+/−)</w:t>
            </w:r>
          </w:p>
        </w:tc>
        <w:tc>
          <w:tcPr>
            <w:tcW w:type="dxa" w:w="30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Margin Impact (aEBIT)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Rate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~27%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−3pp to 24% (Meituan pressure)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-~15% aEBIT; ~US$30–35M annual impact at current GMV scale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GMV / Order Volume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+15% YoY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Revenue −5% (order volume flat)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-~US$20–25M aEBIT; fixed tech costs create negative operating leverage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 Cost per Order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R$11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+R$3 (+27%) (Riders' Law upgrade)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Adds ~R$7B+ annual cost at 2.4B orders; material margin compression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Consumer Delivery Fee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R$6/order avg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−R$3 (price war subsidy)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Reduces net revenue ~12–15%; direct margin impact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Revenue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R$1B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−20% (credit cycle / NPL rise)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Approx. −US$20M aEBIT; high-margin line loss amplified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BRL/USD rate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R$5.50/USD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 depreciates 20% to R$6.60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Reduces USD-reported aEBIT ~15–18% mechanically (no local change)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Penetration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~5% of revenue</w:t>
            </w:r>
          </w:p>
        </w:tc>
        <w:tc>
          <w:tcPr>
            <w:tcW w:type="dxa" w:w="2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Reaches 10% of revenue</w:t>
            </w:r>
          </w:p>
        </w:tc>
        <w:tc>
          <w:tcPr>
            <w:tcW w:type="dxa" w:w="3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Adds ~US$80–100M annual high-margin revenue; 2pp+ aEBIT margin uplift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6. Leading Indicators with Thresholds</w:t>
      </w:r>
    </w:p>
    <w:tbl>
      <w:tblPr>
        <w:tblW w:type="dxa" w:w="8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1900"/>
        <w:gridCol w:w="1700"/>
        <w:gridCol w:w="1500"/>
        <w:gridCol w:w="1600"/>
        <w:gridCol w:w="1700"/>
      </w:tblGrid>
      <w:tr>
        <w:trPr>
          <w:tblHeader/>
        </w:trPr>
        <w:tc>
          <w:tcPr>
            <w:tcW w:type="dxa" w:w="3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Indicator</w:t>
            </w:r>
          </w:p>
        </w:tc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Current Level</w:t>
            </w:r>
          </w:p>
        </w:tc>
        <w:tc>
          <w:tcPr>
            <w:tcW w:type="dxa" w:w="15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Bull Threshold</w:t>
            </w:r>
          </w:p>
        </w:tc>
        <w:tc>
          <w:tcPr>
            <w:tcW w:type="dxa" w:w="1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Bear Threshold</w:t>
            </w:r>
          </w:p>
        </w:tc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Source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Monthly Order Volume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120M/month (FY2025)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≥135M by Q2 FY2026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&lt;110M (Meituan churn)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quarterly reports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Market Share (MAU, Brazil)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89% (Aug 2024)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Stable ≥80%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&lt;70% (competitive disruption)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Sensor Tower / Prosus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3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Overall aEBIT Margin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~3% of GMV est.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≥4% (FY2026)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&lt;2% (subsidy reinstatement)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annual report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4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Revenue (R$)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R$1B+ (FY2025E)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≥R$1.4B (FY2026)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&lt;R$800M (credit cycle issues)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/ iFood press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5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NPL Rate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&lt;3% (est.)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&lt;2.5%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≥5% (credit cycle risk)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disclosures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6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Club Subscriber Growth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Undisclosed; estimated 10M+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≥15% YoY growth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Stagnation/decline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Proxy via Prosus retention commentary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7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Average Order Value (R$)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~R$57–62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≥R$65 (inflation + mix)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&lt;R$52 (price war subsidies)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GMV/order calc from Prosus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8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 Income (R$B, annual)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R$5.2B (2025E)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Stable / rising (workforce retained)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Sharp drop (courier exodus)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ESG/IR disclosures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9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Regulatory Actions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TCC (2023) in effect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No new investigations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New proceedings / fines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public register</w:t>
            </w:r>
          </w:p>
        </w:tc>
      </w:tr>
      <w:tr>
        <w:tc>
          <w:tcPr>
            <w:tcW w:type="dxa" w:w="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10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iFood aEBIT (US$M)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US$226M (FY2025)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≥US$300M (FY2026)</w:t>
            </w:r>
          </w:p>
        </w:tc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&lt;US$150M (competition + FX)</w:t>
            </w:r>
          </w:p>
        </w:tc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annual/interim results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shd w:fill="C97A14" w:val="clear"/>
        <w:spacing w:before="100"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32"/>
          <w:szCs w:val="32"/>
        </w:rPr>
        <w:t xml:space="preserve">PART III — STRATEGY ANALYSIS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1. Unit Economics: Today vs. 5-Year Target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900"/>
        <w:gridCol w:w="2100"/>
        <w:gridCol w:w="3360"/>
      </w:tblGrid>
      <w:tr>
        <w:trPr>
          <w:tblHeader/>
        </w:trPr>
        <w:tc>
          <w:tcPr>
            <w:tcW w:type="dxa" w:w="2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1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Today (FY2025)</w:t>
            </w:r>
          </w:p>
        </w:tc>
        <w:tc>
          <w:tcPr>
            <w:tcW w:type="dxa" w:w="21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5-Year Target (FY2030E)</w:t>
            </w:r>
          </w:p>
        </w:tc>
        <w:tc>
          <w:tcPr>
            <w:tcW w:type="dxa" w:w="33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Driver of Change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Monthly Orders (Brazil)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120M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200M+ (company guidance)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Tier-2/3 city penetration; Uber alliance; population growth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Rate (avg)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~27%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~25–27% (pressure from Meituan)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Competitive pressure may compress; volume scale offsets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Net Revenue Take Rate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~12–15% of GMV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~15–18% (ads + fintech add-on)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and fintech layered on top of commission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Contribution Margin / Order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R$6–11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R$12–18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Courier cost efficiency; ad revenue; Riders' Law stability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Overall aEBIT (US$M)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US$226M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US$600–800M (est.)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Operational leverage; fintech maturation; ad revenue scale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aEBIT Margin (% of GMV)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~0.3%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~0.5–0.6%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Typical food delivery at maturity (Meituan China: ~0.5–0.7%)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Revenue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R$1B+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R$4–5B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SME penetration; consumer fintech; B2B payments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Revenue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&lt;5% of revenue</w:t>
            </w:r>
          </w:p>
        </w:tc>
        <w:tc>
          <w:tcPr>
            <w:tcW w:type="dxa" w:w="2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~12–15% of revenue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Restaurant + FMCG brand ad budgets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2. Where to Play / How to Win Framework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Where to Play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Geography: Brazil-first; 1,500 active cities; expand depth in tier-2/3 cities (200 cities with pop. 100K–500K) where competitive pressure is minimal and iFood is not yet dense enough for 30-minute delivery.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Category: Food delivery (core, defend); grocery/FMCG instant commerce (grow aggressively — iFood Mercado dark stores + Shopper minority stake for pre-scheduled grocery); fintech for restaurants (scale); B2B benefits (iFood Benefícios, explore).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Customer segment: Mass market (Brasil Profundo — lower-income consumers, pix-native) via affordable delivery options; premium segment via Club subscription and guaranteed 20-minute delivery in dense urban cores.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How to Win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Defence against Meituan: Uber alliance (2025) creates a combined user base that is structurally harder to dislodge; iFood's R$17B investment plan (FY2026) includes platform traffic and repeat purchase growth — a counter-subsidy war chest.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Fintech monetisation acceleration: Convert iFood Pago from a restaurant lending tool to a full-service SME bank (accounts, payroll, insurance) — a model proven by Nubank and Stone in Brazil.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Data-to-advertising flywheel: First-party transaction data → targeted FMCG advertising → premium placement → restaurant analytics subscriptions. Each step increases revenue per restaurant per month without incremental order volume.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Technology moat: GenAI assistant (already improved CSAT 36%) + logistics AI optimisation + potential drone pilot (following Meituan's precedent) to reduce per-order courier costs structurally.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3. Moat Renewal: What Deepens the Advantage?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Data compounding: Every additional order enriches consumer preference models, restaurant demand forecasting, and courier routing — widening the prediction gap vs. new entrants who start with zero data.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ecosystem: A restaurant that borrows from iFood Pago, accepts iFood consumer payments, and uses iFood analytics has four distinct switching costs simultaneously. Each financial service added multiplies the lock-in effect.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Uber alliance as flywheel: Uber's 25M Brazilian users represent a meaningful new user acquisition channel. Habitual food ordering through iFood within the Uber app creates cross-platform data enrichment.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Dark store density (iFood Mercado): Each dark store is a physical asset with municipal permits, localised inventory optimisation, and delivery routing integration. Density compounds — the 200th dark store in São Paulo is more profitable than the 50th.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Brand / trust monopoly: iFood is synonymous with 'food delivery' in Brazil — analogous to Google and search. This brand monopoly is the deepest moat of all, built over 14 years and resistant to short-term competitor price wars.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4. Growth Vectors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New Customers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Tier-2/3 cities: 63% of current orders from outside top-10 cities already. Accelerating infrastructure investment in 200+ mid-tier cities where iFood has low courier density today.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Lower-income segment (Classe C/D): PIX-native payment integration (PIX is near-universal in Brazil), lower-AOV orders, and flexible delivery fee options to access price-sensitive consumers.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Uber cross-referral: Estimated 25M Uber users who may not currently use iFood as a primary food app — Uber's in-app iFood integration (May 2025 alliance) is a zero-CAC acquisition channel.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Wallet Share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Club upsell: Converting infrequent users (2–3 orders/month) to Club subscribers (6–8 orders/month) is the single largest internal wallet-share lever. Each Club conversion is worth ~3–4x the LTV of a non-Club user.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Grocery and pharmacy: iFood Mercado captures the weekly grocery basket — a 5–7x more frequent purchase behaviour than restaurant meals. Successfully penetrating grocery adds high-frequency, high-AOV orders without new customer acquisition.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New Products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expansion: Consumer digital wallet (not just B2B restaurant banking) — addressing Brazil's R$1T+ consumer payments market.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Benefícios: Digital meal-ticket replacement (disrupting Sodexo/Alelo duopoly in Brazil's R$50B corporate benefits market).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Ads platform: Self-serve advertising portal for restaurants and FMCG brands — DoorDash Ads / Instacart Ads model applied to Brazil.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5. Capital Allocation: Reinvestment vs. M&amp;A Logic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Organic-first: iFood's R$17B FY2026 investment plan is overwhelmingly organic — platform traffic, city expansion, dark stores, technology. Consistent with Prosus's stated preference for organic value creation within iFood.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Selective M&amp;A: iFood/Shopper (2025) minority stake in pre-scheduled grocery platform — bolt-on that adds a differentiated vertical without full integration risk. CADE reviewing. This is the template: small, vertical-adjacent, data-additive.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Avoid large-scale M&amp;A: iFood has no publicly stated plan to acquire a major competitor (Rappi, 99Food). Post-CADE consent decree, a market-share-increasing acquisition would face significant antitrust risk.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Counter-Meituan war chest: R$17B investment signals willingness to reinstate subsidy spending defensively. The allocation between growth investment and subsidy is the key FY2026 uncertainty — it determines whether iFood maintains its FY2025 profitability trajectory or sacrifices margins for share.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Prosus capital recycling: Prosus sold ~US$2B in portfolio assets in FY2025 to fund iFood and other investments — indicating that iFood's capital needs currently exceed its own OCF generation, despite profitability achievement.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6. What Breaks at Scale vs. What Tightens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700"/>
        <w:gridCol w:w="4060"/>
      </w:tblGrid>
      <w:tr>
        <w:trPr>
          <w:tblHeader/>
        </w:trPr>
        <w:tc>
          <w:tcPr>
            <w:tcW w:type="dxa" w:w="1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Factor</w:t>
            </w:r>
          </w:p>
        </w:tc>
        <w:tc>
          <w:tcPr>
            <w:tcW w:type="dxa" w:w="3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What Breaks</w:t>
            </w:r>
          </w:p>
        </w:tc>
        <w:tc>
          <w:tcPr>
            <w:tcW w:type="dxa" w:w="40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What Tightens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Regulatory exposure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As iFood scale increases, CADE scrutiny intensifies. Bill 4,675/2025 could impose DMA-style rules: interoperability, data sharing, self-preferencing bans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Market density makes logistics more efficient; per-order routing cost declines as courier-to-order ratio improves in dense cities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Labour cost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Riders' Law creates annual cost ratchet tied to minimum wage; no contractual ceiling on cost escalation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Algorithm dispatch efficiency improves with order density — more orders per courier per hour reduces effective per-order labour cost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Competitive pricing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Multiple entrants (Meituan, 99Food) force commission rate competition and potential consumer re-subsidisation — compressing margin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Scale gives iFood better bargaining power with large restaurant chains and FMCG advertisers; volume discounts in cloud/payment infrastructure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credit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At R$4–5B lending scale (FY2030E), credit cycle risk becomes material; a Brazil recession scenario could create systemic SME NPL stress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Data depth improves credit underwriting — more transaction history = better default prediction; lower NPLs relative to traditional banks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Technology gap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Meituan brings drone + AI capabilities that exceed iFood's current stack; a sustained tech gap could shift consumer/merchant preference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GenAI investments (CSAT +36%) and dark store density create proprietary operational advantages that compound with each new city launch</w:t>
            </w:r>
          </w:p>
        </w:tc>
      </w:tr>
      <w:tr>
        <w:tc>
          <w:tcPr>
            <w:tcW w:type="dxa" w:w="16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Management bandwidth</w:t>
            </w:r>
          </w:p>
        </w:tc>
        <w:tc>
          <w:tcPr>
            <w:tcW w:type="dxa" w:w="3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Simultaneous defence against Meituan + fintech scaling + dark store expansion + Uber integration + Shopper integration + tier-3 city push = execution risk</w:t>
            </w:r>
          </w:p>
        </w:tc>
        <w:tc>
          <w:tcPr>
            <w:tcW w:type="dxa" w:w="40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Prosus's portfolio experience (Delivery Hero, Swiggy) provides board-level playbook for food delivery scaling; iFood management team has 14 years of Brazil-specific experience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7. Risk Heat Map with Failure Modes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100"/>
        <w:gridCol w:w="1000"/>
        <w:gridCol w:w="5260"/>
      </w:tblGrid>
      <w:tr>
        <w:trPr>
          <w:tblHeader/>
        </w:trPr>
        <w:tc>
          <w:tcPr>
            <w:tcW w:type="dxa" w:w="2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Risk</w:t>
            </w:r>
          </w:p>
        </w:tc>
        <w:tc>
          <w:tcPr>
            <w:tcW w:type="dxa" w:w="11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Probability</w:t>
            </w:r>
          </w:p>
        </w:tc>
        <w:tc>
          <w:tcPr>
            <w:tcW w:type="dxa" w:w="1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Severity</w:t>
            </w:r>
          </w:p>
        </w:tc>
        <w:tc>
          <w:tcPr>
            <w:tcW w:type="dxa" w:w="52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Failure Mode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Meituan/99Food Commission War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CRITICAL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rates compress to 20–22%; iFood forced to reinstate consumer subsidies; aEBIT reverts to &lt;US$100M; Prosus capital reallocation debate triggered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Digital Markets Bill (4,675/2025)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designated 'systemically relevant'; mandatory data portability, interoperability requirements, self-preferencing ban on iFood Mercado; structural 3–5pp margin compression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Riders' Law Cost Escalation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Minimum wage adjustment + new benefit mandates add R$2–4B annual courier costs by 2027; contribution margin per order compressed 15–25%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NPL / Credit Cycle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Brazil recession; SELIC spike; restaurant SME NPLs rise to 7–10%; R$200–400M write-downs; fintech segment losses offset core delivery profit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 Currency Crisis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 depreciates 30%+; USD-reported aEBIT falls mechanically; Prosus allocation shifts; investment plan curtailed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Alliance Breakdown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LOW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re-launches Uber Eats Brazil (exited 2022) in competition; cross-referral traffic withdrawn; CAC increases 20–30%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Technology / AI Disruption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Meituan deploys drone delivery + LLM-powered ordering in São Paulo before iFood; perceived service quality gap triggers merchant switching</w:t>
            </w:r>
          </w:p>
        </w:tc>
      </w:tr>
      <w:tr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Regulatory Labour Reclassification</w:t>
            </w:r>
          </w:p>
        </w:tc>
        <w:tc>
          <w:tcPr>
            <w:tcW w:type="dxa" w:w="11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LOW-MEDIUM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5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Brazilian Supreme Court or legislature reclassifies gig couriers as employees; labour cost structure becomes fixed; business model requires fundamental restructuring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8. 12-Quarter Roadmap with Pass/Fail Milestones</w:t>
      </w:r>
    </w:p>
    <w:tbl>
      <w:tblPr>
        <w:tblW w:type="dxa" w:w="8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2000"/>
        <w:gridCol w:w="1900"/>
        <w:gridCol w:w="2260"/>
      </w:tblGrid>
      <w:tr>
        <w:trPr>
          <w:tblHeader/>
        </w:trPr>
        <w:tc>
          <w:tcPr>
            <w:tcW w:type="dxa" w:w="1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Quarter</w:t>
            </w:r>
          </w:p>
        </w:tc>
        <w:tc>
          <w:tcPr>
            <w:tcW w:type="dxa" w:w="1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Focus</w:t>
            </w:r>
          </w:p>
        </w:tc>
        <w:tc>
          <w:tcPr>
            <w:tcW w:type="dxa" w:w="2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Target Milestone</w:t>
            </w:r>
          </w:p>
        </w:tc>
        <w:tc>
          <w:tcPr>
            <w:tcW w:type="dxa" w:w="1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Pass Criteria</w:t>
            </w:r>
          </w:p>
        </w:tc>
        <w:tc>
          <w:tcPr>
            <w:tcW w:type="dxa" w:w="22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Fail Signal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Q1 FY2026
(Apr–Jun 25)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Meituan Defence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Maintain market share ≥80% post-Meituan launch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MAU share stable; no &gt;5pp loss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MAU share drops below 75% within 6 months of Meituan launch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Q2 FY2026
(Jul–Sep 25)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Fintech Scale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aEBITDA positive (achieved Sept 2025)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Confirmed by Prosus H1 FY2026 report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losses re-emerge; credit quality deterioration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Q2 FY2026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Integration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Cross-app ordering live for Uber users in Brazil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Feature launched; Uber users transacting on iFood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Integration delayed; commercial terms disputed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Q3 FY2026
(Oct–Dec 25)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Volume Milestone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140M orders/month run-rate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confirms ≥140M/month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Order growth decelerates below 10% YoY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Q3 FY2026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Ads Revenue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revenue &gt;7% of total revenue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Disclosed by Prosus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revenue stagnates below 5%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Q4 FY2026
(Jan–Mar 26)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Annual aEBIT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Overall aEBIT ≥US$300M (FY2026)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FY2026 annual report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aEBIT &lt;US$200M (margin war impact)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Q1 FY2027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Bill Response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compliance plan for Bill 4,675/2025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Proactive engagement; no interim measures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imposes interim measures on iFood Mercado self-preferencing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Q2 FY2027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Dark Store Density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500+ dark stores operational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confirms milestone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Dark store network stagnates below 400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Q3 FY2027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B2C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Consumer digital wallet launched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User activation &gt;1M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Product launch delayed beyond Q1 FY2028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Q4 FY2027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Tier-3 City Expansion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Active in 2,000+ cities (from 1,500)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City count confirmed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No meaningful expansion beyond current 1,500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Q2 FY2028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Order Target Trajectory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On-track for 200M/month by FY2028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≥165M/month confirmed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&lt;145M/month (growth stall)</w:t>
            </w:r>
          </w:p>
        </w:tc>
      </w:tr>
      <w:tr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Q4 FY2028</w:t>
            </w:r>
          </w:p>
        </w:tc>
        <w:tc>
          <w:tcPr>
            <w:tcW w:type="dxa" w:w="1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Ecosystem Maturity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+ Ads &gt;25% of total revenue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Segment revenue disclosure</w:t>
            </w:r>
          </w:p>
        </w:tc>
        <w:tc>
          <w:tcPr>
            <w:tcW w:type="dxa" w:w="22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Still &lt;15% (monetisation failure)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shd w:fill="C97A14" w:val="clear"/>
        <w:spacing w:before="100"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32"/>
          <w:szCs w:val="32"/>
        </w:rPr>
        <w:t xml:space="preserve">PART IV — INVESTMENT MEMO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Executive Summary — Investment Thesis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thick" w:color="1B3A5C" w:sz="12"/>
              <w:left w:val="none" w:color="FFFFFF" w:sz="0"/>
              <w:bottom w:val="none" w:color="FFFFFF" w:sz="0"/>
              <w:right w:val="none" w:color="FFFFFF" w:sz="0"/>
            </w:tcBorders>
            <w:shd w:fill="EBF3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One-Paragraph Thesis (English)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9"/>
                <w:szCs w:val="19"/>
              </w:rPr>
              <w:t xml:space="preserve">iFood is Brazil's dominant food delivery platform — a 14-year-old, 80%+ market-share incumbent that has navigated regulatory pressure (CADE 2023 exclusivity ban), competitive disruption (Uber Eats exit; Rappi marginalisation; now Meituan entry), and a labour-rights movement (Lei dos Entregadores 2024) to deliver its first material profitability in FY2025 (US$226M aEBIT, +178% YoY). The investment thesis has three sequential value-creation events: (1) the core delivery business has crossed its profitability inflection point and will compound as Brazil's 200M+ population continues adopting online food ordering (currently at ~40% urban penetration vs. 70%+ in mature markets); (2) iFood Pago — the embedded fintech for restaurants — is a structurally superior credit and payments business with captive underwriting data, reaching R$1B+ revenue in FY2025 with 179% growth; (3) the advertising monetisation layer (currently &lt;5% of revenue vs. 15%+ at DoorDash/Meituan) represents a US$200–300M annual high-margin revenue pool at maturity. The principal risk is Meituan's USD 1B Brazil entry — a proven disruptor whose HK/Saudi playbook (subsidies + low commissions + high rider pay) is specifically designed to exploit iFood's commission structure vulnerability.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Business Model &amp; Unit Economics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Revenue architecture: Three layers — (a) commission on GMV (~27%, ~R$4–5B revenue at current scale); (b) consumer delivery fees (~R$1–2B estimated); (c) iFood Pago fintech (R$1B+ FY2025, growing 52%+ annually); (d) emerging advertising (&lt;5% today, targeting 12–15%).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Unit economics trajectory: Contribution margin per order improving from ~R$3–5 (FY2022) toward R$6–11 (FY2025) through subsidy normalisation, courier algorithm efficiency, and fintech cross-sell. Target R$12–18 by FY2030.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LTV/CAC: iFood Club subscribers show ~3–4x higher LTV vs. non-Club; CAC declining as organic acquisition (Uber alliance, brand recognition) increases share of new users. Payback ~3–5 months for Club subscribers.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Prosus-reported financials: aEBIT US$226M (FY2025), up from US$96M (FY2024) and loss-making before FY2024. Inflection is real and structural, not one-time.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Competitive Position &amp; Moat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Market dominance: 80%+ food delivery GMV share; 89% MAU share (Sensor Tower); 400,000 restaurant partners; 55 million customers; 120M monthly orders — each metric represents a multi-year lead over any entrant.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Brand monopoly: 'iFood' is the generic term for food delivery in Brazil — the equivalent of 'Google' for search. Brand-generic products command premium pricing power and organic discovery.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Data moat: 14 years of transaction data across 400,000 restaurants, 55M consumers, and 310,000 couriers creates an underwriting, personalisation, and targeting advantage that no new entrant can replicate for 5–7 years.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 financial lock-in: Restaurants with iFood credit facilities and digital accounts face multi-dimensional switching costs that transcend the delivery relationship.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Vulnerability: Commission rates (~27%) are the highest globally among major platforms. This single fact creates the opening for Meituan's go-to-market strategy.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Top 3 Growth Drivers &amp; Sensitivities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Growth Driver 1: Order Volume Compounding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Path to 200M orders/month by FY2028 requires ~19% CAGR — achievable through Uber alliance cross-sell, tier-2/3 city density, and iFood Club conversion.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Sensitivity: Each 10M monthly order increment = ~R$7B annual GMV uplift; at 15% net take rate = ~R$1B annual revenue. Every percentage point of market share is worth approximately R$10B in GMV.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Growth Driver 2: iFood Pago Fintech Scaling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R$1B revenue in FY2025 growing 52%+. Path to R$4–5B by FY2030 through restaurant banking, consumer wallet, and FMCG payment infrastructure.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Sensitivity: iFood Pago at 70% gross margin vs. delivery's ~40% — every R$1B added to Pago revenue contributes ~R$700M to gross profit, improving blended margins by ~2pp.</w:t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Growth Driver 3: Advertising Penetration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From &lt;5% to 12–15% of revenue in 5 years = ~R$2–3B additional annual revenue at near-zero incremental cost (pure software monetisation).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Sensitivity: Every 1pp increase in ad revenue as % of total adds ~US$20–30M annual aEBIT at current scale; significantly more at FY2030 GMV levels.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Risk Framework with Failure Modes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000"/>
        <w:gridCol w:w="3500"/>
        <w:gridCol w:w="3160"/>
      </w:tblGrid>
      <w:tr>
        <w:trPr>
          <w:tblHeader/>
        </w:trPr>
        <w:tc>
          <w:tcPr>
            <w:tcW w:type="dxa" w:w="1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Risk</w:t>
            </w:r>
          </w:p>
        </w:tc>
        <w:tc>
          <w:tcPr>
            <w:tcW w:type="dxa" w:w="1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Probability</w:t>
            </w:r>
          </w:p>
        </w:tc>
        <w:tc>
          <w:tcPr>
            <w:tcW w:type="dxa" w:w="35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Failure Mode</w:t>
            </w:r>
          </w:p>
        </w:tc>
        <w:tc>
          <w:tcPr>
            <w:tcW w:type="dxa" w:w="31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Mitigation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Meituan Commission War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3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Commission rates drop to 22–24%; consumer subsidies reinstated; aEBIT compressed to &lt;US$100M; Prosus considers strategic alternatives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Uber alliance + R$17B investment + brand moat; iFood's tier-2/3 city density is a geographic hedge Meituan cannot immediately match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Digital Markets Bill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3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Interoperability mandates fragment iFood's ecosystem; self-preferencing ban hits iFood Mercado economics; structural 3–5pp margin compression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Proactive TCC negotiation (proven in 2023); political engagement; Prosus's regulatory track record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Riders' Law Cost Escalation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HIGH</w:t>
            </w:r>
          </w:p>
        </w:tc>
        <w:tc>
          <w:tcPr>
            <w:tcW w:type="dxa" w:w="3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Annual minimum wage + new benefit mandates add R$2–4B to courier costs by 2027; contribution margin per order reverts to R$3–5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Algorithm efficiency gains; dark store concentration reduces per-order distance; long-term drone/robotics investment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Credit Cycle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3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Brazil recession; SME NPLs rise to 7–10%; R$300–400M write-downs; fintech segment losses offset delivery profit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Transaction-data underwriting (superior to traditional banks); short-duration loans; portfolio diversification across 400K restaurants</w:t>
            </w:r>
          </w:p>
        </w:tc>
      </w:tr>
      <w:tr>
        <w:tc>
          <w:tcPr>
            <w:tcW w:type="dxa" w:w="17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BRL Currency Depreciation</w:t>
            </w:r>
          </w:p>
        </w:tc>
        <w:tc>
          <w:tcPr>
            <w:tcW w:type="dxa" w:w="1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MEDIUM</w:t>
            </w:r>
          </w:p>
        </w:tc>
        <w:tc>
          <w:tcPr>
            <w:tcW w:type="dxa" w:w="3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20–30% BRL weakness; USD aEBIT falls mechanically; Prosus allocation pressure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Natural hedge (costs and revenues both BRL); geographic diversification in Prosus portfolio reduces single-currency dependency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12-Month KPI Watch List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1900"/>
        <w:gridCol w:w="15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1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Current Level</w:t>
            </w:r>
          </w:p>
        </w:tc>
        <w:tc>
          <w:tcPr>
            <w:tcW w:type="dxa" w:w="1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12-Month Target</w:t>
            </w:r>
          </w:p>
        </w:tc>
        <w:tc>
          <w:tcPr>
            <w:tcW w:type="dxa" w:w="15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Frequency</w:t>
            </w:r>
          </w:p>
        </w:tc>
        <w:tc>
          <w:tcPr>
            <w:tcW w:type="dxa" w:w="21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Data Source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Monthly Order Volume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120M/month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≥135M/month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Quarterly (Prosus interim)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results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Brazil Market Share (MAU)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89% (Aug 2024)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≥82% (absorb Meituan pressure)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Semi-annually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Sensor Tower / Prosus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Overall iFood aEBIT (US$M)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US$226M (FY2025)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≥US$285M (FY2026)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Annually (March year-end)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annual report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Revenue (R$)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R$1B+ (FY2025E)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≥R$1.4B (FY2026)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Semi-annually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/ iFood press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aEBITDA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Positive (Sept 2025)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Sustained positive; &gt;5% margin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Quarterly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interim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Average Order Value (R$)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~R$57–62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≥R$65 (inflation + mix uplift)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Quarterly (calc from GMV/orders)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GMV / order disclosure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Advertising Revenue % of Total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&lt;5%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≥6–7% (early monetisation signal)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Annually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segment commentary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Restaurant Partner Count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400,000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≥420,000 (defend vs. Meituan)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Semi-annually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 / iFood press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Regulatory Actions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TCC active (2023)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No new proceedings opened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Ongoing monitoring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 public register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Club Subscriber Growth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Est. 10M+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≥15% YoY</w:t>
            </w:r>
          </w:p>
        </w:tc>
        <w:tc>
          <w:tcPr>
            <w:tcW w:type="dxa" w:w="15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Annually</w:t>
            </w:r>
          </w:p>
        </w:tc>
        <w:tc>
          <w:tcPr>
            <w:tcW w:type="dxa" w:w="2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Proxy via Prosus retention metrics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r>
        <w:br w:type="page"/>
      </w:r>
    </w:p>
    <w:p>
      <w:pPr>
        <w:shd w:fill="1B3A5C" w:val="clear"/>
        <w:spacing w:before="100"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32"/>
          <w:szCs w:val="32"/>
        </w:rPr>
        <w:t xml:space="preserve">中文完整摘要 — FULL CHINESE EXECUTIVE SUMMARY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pBdr>
          <w:bottom w:val="single" w:color="C97A14" w:sz="10" w:space="1"/>
        </w:pBdr>
        <w:spacing w:before="260" w:after="130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7"/>
          <w:szCs w:val="27"/>
        </w:rPr>
        <w:t xml:space="preserve">执行摘要 Executive Summary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是巴西乃至拉丁美洲规模最大的食品外卖平台，由荷兰科技投资集团Prosus（纳斯帕斯旗下）全资持有。成立于2011年，历经14年深耕，iFood以逾80%的市场份额牢牢占据巴西外卖市场主导地位。本报告综合价值链分析、财务建模、战略规划及投资备忘录四大模块，以中英双语形式呈现完整研究框架。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一、核心财务表现 Key Financials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000"/>
        <w:gridCol w:w="3160"/>
      </w:tblGrid>
      <w:tr>
        <w:trPr>
          <w:tblHeader/>
        </w:trPr>
        <w:tc>
          <w:tcPr>
            <w:tcW w:type="dxa" w:w="3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指标 Metric</w:t>
            </w:r>
          </w:p>
        </w:tc>
        <w:tc>
          <w:tcPr>
            <w:tcW w:type="dxa" w:w="3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数值 Value</w:t>
            </w:r>
          </w:p>
        </w:tc>
        <w:tc>
          <w:tcPr>
            <w:tcW w:type="dxa" w:w="31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趋势 Trend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FY2025 整体调整后息税前利润 (aEBIT)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US$226M (+178% YoY)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↑↑ 历史最高，实现盈利拐点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FY2024 aEBIT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US$96M (+387% vs. FY2023)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从亏损到盈利转折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月均订单量 (FY2025)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1.2亿单/月 (目标：2028年2亿单/月)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CAGR ~19%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全年GMV（商品交易总额）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约R$1400亿 (~1%巴西GDP，FIPE研究)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Pago营收 (FY2025E)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R$10亿+ (+52% YoY)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↑↑ 最快增长业务线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aEBITDA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2025年9月实现盈亏平衡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独立盈利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平台佣金率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约27%（高于全球同行均值）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↔ 面临Meituan压降风险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巴西市场覆盖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1500+城市；4万家合作餐厅；5500万消费者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</w:t>
            </w:r>
          </w:p>
        </w:tc>
      </w:tr>
      <w:tr>
        <w:tc>
          <w:tcPr>
            <w:tcW w:type="dxa" w:w="32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Prosus投资计划 (FY2026)</w:t>
            </w:r>
          </w:p>
        </w:tc>
        <w:tc>
          <w:tcPr>
            <w:tcW w:type="dxa" w:w="3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R$170亿（约31亿美元）</w:t>
            </w:r>
          </w:p>
        </w:tc>
        <w:tc>
          <w:tcPr>
            <w:tcW w:type="dxa" w:w="31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↑ 加大投入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二、价值链核心结论 Value Chain Summary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资金流动路径：消费者→iFood平台（佣金+配送费）→骑手（单笔报酬）+餐厅（净额结算T+14-30）。iFood Pago向餐厅提供贷款，形成平台内部资金循环。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利润集中点：利润不在物流配送层（成本密集、高度监管），而在平台数据层（广告、SaaS）和金融服务层（iFood Pago）。餐厅广告毛利率约70-80%，远高于配送佣金的约40%。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护城河来源：14年交易数据积累（消费者偏好+餐厅需求+骑手路径）、品牌独占效应（iFood=外卖在巴西）、iFood Pago金融锁定、Uber战略联盟（2025年5月）。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控制点：支付结算浮存（T+14-30）、算法调度（私有标准）、餐厅数字门面管控权、暗仓运营许可证。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三、增长驱动与财务敏感性 Growth Drivers &amp; Sensitivities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1800"/>
        <w:gridCol w:w="3360"/>
      </w:tblGrid>
      <w:tr>
        <w:trPr>
          <w:tblHeader/>
        </w:trPr>
        <w:tc>
          <w:tcPr>
            <w:tcW w:type="dxa" w:w="2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增长驱动 Growth Driver</w:t>
            </w:r>
          </w:p>
        </w:tc>
        <w:tc>
          <w:tcPr>
            <w:tcW w:type="dxa" w:w="1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当前基础 Base</w:t>
            </w:r>
          </w:p>
        </w:tc>
        <w:tc>
          <w:tcPr>
            <w:tcW w:type="dxa" w:w="1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5年目标 5-Year Target</w:t>
            </w:r>
          </w:p>
        </w:tc>
        <w:tc>
          <w:tcPr>
            <w:tcW w:type="dxa" w:w="33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关键敏感性 Key Sensitivity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订单量复合增长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1.2亿单/月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2亿单/月 (FY2028)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每增加1000万单/月=年增GMV约70亿雷亚尔；按15%净佣金率=约10亿雷亚尔营收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Pago金融化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R$10亿+收入(FY25E)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R$40-50亿 (FY2030E)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每增加R$10亿Pago收入（70%毛利率）=毛利增加约7亿，对整体利润率贡献约2个百分点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广告变现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&lt;5%营收占比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12-15%营收占比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每提升1个百分点广告占比=年增约US$2000-3000万高毛利aEBIT贡献</w:t>
            </w:r>
          </w:p>
        </w:tc>
      </w:tr>
      <w:tr>
        <w:tc>
          <w:tcPr>
            <w:tcW w:type="dxa" w:w="24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二三线城市渗透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1500个城市</w:t>
            </w:r>
          </w:p>
        </w:tc>
        <w:tc>
          <w:tcPr>
            <w:tcW w:type="dxa" w:w="1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2000+城市 (FY2028)</w:t>
            </w:r>
          </w:p>
        </w:tc>
        <w:tc>
          <w:tcPr>
            <w:tcW w:type="dxa" w:w="33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每100个新城市（平均规模）=约R$20-40亿增量GMV，边际成本低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四、竞争格局与风险 Competitive Landscape &amp; Risks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19"/>
          <w:szCs w:val="19"/>
        </w:rPr>
        <w:t xml:space="preserve">最大威胁——美团（Keeta Brazil）：2025年宣布10亿美元投入巴西市场，复制香港/沙特打法：低佣金（目标10-20% vs iFood 27%）+ 高骑手薪酬 + 消费者补贴。BTG Pactual预测美团2026年有望获取约15%市场份额。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监管风险——CADE数字市场法案（第4675/2025号）：参照欧盟DMA，可能将iFood认定为'系统性重要平台'，强制实施数据开放、互操作性和禁止自我优待。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劳动力成本——《骑手法》（2024）：法定最低单价、事故保险、医疗福利已形成成本底部，且随最低工资年度调整而持续上升。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iFood Pago信贷风险：随贷款规模扩大至R$40-50亿（2030年），在巴西经济下行周期中，中小餐厅借款人的不良贷款率可能显著上升。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19"/>
          <w:szCs w:val="19"/>
        </w:rPr>
        <w:t xml:space="preserve">汇率风险：Prosus以美元报告，雷亚尔贬值直接压缩美元口径aEBIT，即使本地运营表现稳定。</w:t>
      </w:r>
    </w:p>
    <w:p>
      <w:pPr>
        <w:spacing w:after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五、12个月KPI监控清单 12-Month KPI Watch 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900"/>
        <w:gridCol w:w="2000"/>
        <w:gridCol w:w="2660"/>
      </w:tblGrid>
      <w:tr>
        <w:trPr>
          <w:tblHeader/>
        </w:trPr>
        <w:tc>
          <w:tcPr>
            <w:tcW w:type="dxa" w:w="2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1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当前水平</w:t>
            </w:r>
          </w:p>
        </w:tc>
        <w:tc>
          <w:tcPr>
            <w:tcW w:type="dxa" w:w="2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12个月目标</w:t>
            </w:r>
          </w:p>
        </w:tc>
        <w:tc>
          <w:tcPr>
            <w:tcW w:type="dxa" w:w="26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监测频率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月均订单量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1.2亿单/月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≥1.35亿单/月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季度（Prosus中报）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巴西市场份额（MAU）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89%（2024年8月）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≥82%（吸收美团冲击）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半年度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iFood整体aEBIT（美元）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2.26亿（FY2025）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≥2.85亿（FY2026）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年度（3月底）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Pago营收（雷亚尔）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R$10亿+（FY2025E）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≥R$14亿（FY2026）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半年度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Pago aEBITDA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2025年9月盈亏平衡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维持盈利；&gt;5%利润率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季度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平均客单价（雷亚尔）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约R$57-62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≥R$65（通胀+结构性提升）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季度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广告收入占比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&lt;5%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≥6-7%（早期商业化信号）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年度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合作餐厅数量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40万家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≥42万（防范美团分流）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半年度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CADE监管动态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2023年TCC协议执行中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无新调查启动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持续监测</w:t>
            </w:r>
          </w:p>
        </w:tc>
      </w:tr>
      <w:tr>
        <w:tc>
          <w:tcPr>
            <w:tcW w:type="dxa" w:w="28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iFood Club会员增速</w:t>
            </w:r>
          </w:p>
        </w:tc>
        <w:tc>
          <w:tcPr>
            <w:tcW w:type="dxa" w:w="19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估计1000万+</w:t>
            </w:r>
          </w:p>
        </w:tc>
        <w:tc>
          <w:tcPr>
            <w:tcW w:type="dxa" w:w="200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≥15%同比增长</w:t>
            </w:r>
          </w:p>
        </w:tc>
        <w:tc>
          <w:tcPr>
            <w:tcW w:type="dxa" w:w="2660"/>
            <w:tcBorders>
              <w:top w:val="single" w:color="BDD3E8" w:sz="1"/>
              <w:left w:val="single" w:color="BDD3E8" w:sz="1"/>
              <w:bottom w:val="single" w:color="BDD3E8" w:sz="1"/>
              <w:right w:val="single" w:color="BDD3E8" w:sz="1"/>
            </w:tcBorders>
            <w:shd w:fill="F5F9FE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7"/>
                <w:szCs w:val="17"/>
              </w:rPr>
              <w:t xml:space="preserve">年度（代理指标）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spacing w:before="180" w:after="90"/>
      </w:pPr>
      <w:r>
        <w:rPr>
          <w:rFonts w:ascii="Arial" w:cs="Arial" w:eastAsia="Arial" w:hAnsi="Arial"/>
          <w:b/>
          <w:bCs/>
          <w:i w:val="false"/>
          <w:iCs w:val="false"/>
          <w:color w:val="2C6FAC"/>
          <w:sz w:val="22"/>
          <w:szCs w:val="22"/>
        </w:rPr>
        <w:t xml:space="preserve">六、战略结论 Strategic Conclusion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thick" w:color="1A6B3A" w:sz="12"/>
              <w:left w:val="none" w:color="FFFFFF" w:sz="0"/>
              <w:bottom w:val="none" w:color="FFFFFF" w:sz="0"/>
              <w:right w:val="none" w:color="FFFFFF" w:sz="0"/>
            </w:tcBorders>
            <w:shd w:fill="EAF5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19"/>
                <w:szCs w:val="19"/>
              </w:rPr>
              <w:t xml:space="preserve">中文投资结论 / Chinese Investment Conclusion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1E1E"/>
                <w:sz w:val="19"/>
                <w:szCs w:val="19"/>
              </w:rPr>
              <w:t xml:space="preserve">iFood的长期价值创造逻辑清晰且已被FY2025的盈利数据初步验证：市场独占→数据积累→金融服务货币化→广告变现→规模化运营杠杆。iFood Pago的高速增长（+52%，已实现盈亏平衡）是超越送餐佣金商业模式的关键拐点，其本质是一家基于交易数据的中小企业金融机构，类比巴西本土的Nubank和Stone。投资者需紧密跟踪的核心变量是美团Keeta进入巴西后iFood市场份额的稳定性：若iFood能在Meituan进入后12个月内保持≥80%市场份额，则护城河论证成立；若份额快速跌破75%，则iFood将面临被迫重启补贴战、压缩盈利路径的风险。Uber联盟（2025）与R$170亿投资计划是iFood主动防御战略的两大核心支柱。</w:t>
            </w:r>
          </w:p>
        </w:tc>
      </w:tr>
    </w:tbl>
    <w:p>
      <w:pP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1E1E"/>
          <w:sz w:val="20"/>
          <w:szCs w:val="20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888888"/>
          <w:sz w:val="18"/>
          <w:szCs w:val="18"/>
        </w:rPr>
        <w:t xml:space="preserve">— END OF REPORT / 报告结束 —</w:t>
      </w:r>
    </w:p>
    <w:p>
      <w:pPr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15"/>
          <w:szCs w:val="15"/>
        </w:rPr>
        <w:t xml:space="preserve">Sources / 数据来源: Prosus Annual Reports FY2023–FY2025, Prosus Investor Presentations, iFood Press Releases, CADE Filings (TCC 2023; CADE/Shopper 2025), Statista, Sensor Tower, Rwazi 2025 Brazil Survey, Rest of World, FIPE Economic Study, BTG Pactual Research. For institutional use only / 仅供机构投资者参考。</w:t>
      </w:r>
    </w:p>
    <w:sectPr>
      <w:headerReference w:type="default" r:id="rId6"/>
      <w:footerReference w:type="default" r:id="rId7"/>
      <w:pgSz w:w="12240" w:h="15840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7A14" w:sz="4"/>
      </w:pBdr>
      <w:spacing w:before="50"/>
    </w:pPr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Confidential — Institutional Research Only  |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7A14" w:sz="4"/>
      </w:pBdr>
      <w:spacing w:after="50"/>
    </w:pPr>
    <w:r>
      <w:rPr>
        <w:rFonts w:ascii="Arial" w:cs="Arial" w:eastAsia="Arial" w:hAnsi="Arial"/>
        <w:b w:val="false"/>
        <w:bCs w:val="false"/>
        <w:i/>
        <w:iCs/>
        <w:color w:val="888888"/>
        <w:sz w:val="16"/>
        <w:szCs w:val="16"/>
      </w:rPr>
      <w:t xml:space="preserve">iFOOD (Prosus)  |  Comprehensive Strategic &amp; Investment Report  |  March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50"/>
      </w:pPr>
    </w:lvl>
    <w:lvl w:ilvl="1" w15:tentative="1">
      <w:start w:val="1"/>
      <w:numFmt w:val="bullet"/>
      <w:lvlText w:val="◦"/>
      <w:lvlJc w:val="left"/>
      <w:pPr>
        <w:ind w:left="88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60" w:after="180"/>
      <w:outlineLvl w:val="0"/>
    </w:pPr>
    <w:rPr>
      <w:rFonts w:ascii="Arial" w:cs="Arial" w:eastAsia="Arial" w:hAnsi="Arial"/>
      <w:b/>
      <w:bCs/>
      <w:color w:val="FFFFFF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60" w:after="130"/>
      <w:outlineLvl w:val="1"/>
    </w:pPr>
    <w:rPr>
      <w:rFonts w:ascii="Arial" w:cs="Arial" w:eastAsia="Arial" w:hAnsi="Arial"/>
      <w:b/>
      <w:bCs/>
      <w:color w:val="1B3A5C"/>
      <w:sz w:val="27"/>
      <w:szCs w:val="27"/>
    </w:rPr>
  </w:style>
  <w:style w:type="paragraph" w:styleId="Heading3">
    <w:name w:val="Heading 3"/>
    <w:basedOn w:val="Normal"/>
    <w:next w:val="Normal"/>
    <w:qFormat/>
    <w:pPr>
      <w:spacing w:before="180" w:after="90"/>
      <w:outlineLvl w:val="2"/>
    </w:pPr>
    <w:rPr>
      <w:rFonts w:ascii="Arial" w:cs="Arial" w:eastAsia="Arial" w:hAnsi="Arial"/>
      <w:b/>
      <w:bCs/>
      <w:color w:val="2C6FA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2026-03-30T16:03:07.996Z</dcterms:created>
  <dcterms:modified xsi:type="dcterms:W3CDTF">2026-03-30T16:03:07.997Z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